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5209" w14:textId="77777777" w:rsidR="006D5151" w:rsidRPr="007A45AC" w:rsidRDefault="006D5151" w:rsidP="007A45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45AC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муниципальной программы</w:t>
      </w:r>
    </w:p>
    <w:p w14:paraId="7834E581" w14:textId="77777777" w:rsidR="006D5151" w:rsidRDefault="006D5151" w:rsidP="007A45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45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«Стимулирование экономической активности в муниципальном образовании «Городской округ Ногликский» </w:t>
      </w:r>
      <w:r w:rsidR="00C83A94" w:rsidRPr="007A45AC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</w:p>
    <w:p w14:paraId="20557595" w14:textId="77777777" w:rsidR="007A45AC" w:rsidRPr="007A45AC" w:rsidRDefault="007A45AC" w:rsidP="007A45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214" w:type="dxa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2"/>
        <w:gridCol w:w="6662"/>
      </w:tblGrid>
      <w:tr w:rsidR="006D5151" w:rsidRPr="007A45AC" w14:paraId="54B3EB15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A861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3D25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Федеральный закон от 06.10.2003 № 131–ФЗ «Об общих принципах организации местного самоуправления в Российской Федерации»;</w:t>
            </w:r>
          </w:p>
          <w:p w14:paraId="2D4A9F37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Федеральный закон от 24.07.2007 № 209-ФЗ «О развитии малого и среднего предпринимательства в Российской Федерации»;</w:t>
            </w:r>
          </w:p>
          <w:p w14:paraId="22CAD4AD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29.12.2006 № 264-ФЗ «О развитии сельского хозяйства»;</w:t>
            </w:r>
          </w:p>
          <w:p w14:paraId="5A4DC690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Закон Сахалинской области от 15.07.2011 № 81-ЗО «О развитии сельского хозяйства Сахалинской области»;</w:t>
            </w:r>
          </w:p>
          <w:p w14:paraId="74C77AB8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Федеральный закон от 28.12.2009 № 381-ФЗ «Об основах государственного регулирования торговой деятельности в Российской Федерации»;</w:t>
            </w:r>
          </w:p>
          <w:p w14:paraId="23BBE114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Федеральный закон от 13.07.2015 № 220-ФЗ «Об организации регулярных перевозок пассажиров и багажа автомобильным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      </w:r>
          </w:p>
          <w:p w14:paraId="79B67608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Постановление администрации муниципального образования «Городской округ Ногликский» от 28.06.2016 № 344 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Ногликский»;</w:t>
            </w:r>
          </w:p>
          <w:p w14:paraId="67DB12D4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Концепция муниципальной программы «Стимулирование экономической активности в муниципальном образовании «Городской округ Ногликский» на период 2015-2020 годы», утвержденная на заседании Коллегии при мэре муниципального образования «</w:t>
            </w:r>
            <w:r w:rsidRPr="007A45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Городской округ Ногликский» - протокол от 08.07.2014 № 1;</w:t>
            </w:r>
          </w:p>
          <w:p w14:paraId="5A6E4E05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распоряжение мэра муниципального образования «Городской округ Ногликский» от 17.07.2018 № 53-р «Об утверждении Перечня муниципальных программ муниципального образования «Городской округ Ногликский». </w:t>
            </w:r>
          </w:p>
        </w:tc>
      </w:tr>
      <w:tr w:rsidR="006D5151" w:rsidRPr="007A45AC" w14:paraId="2F350D84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E7998" w14:textId="77777777" w:rsidR="006D5151" w:rsidRPr="007A45AC" w:rsidRDefault="006D5151" w:rsidP="006D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8472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      </w:r>
          </w:p>
        </w:tc>
      </w:tr>
      <w:tr w:rsidR="006D5151" w:rsidRPr="007A45AC" w14:paraId="20BA901F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3D6C" w14:textId="77777777" w:rsidR="006D5151" w:rsidRPr="007A45AC" w:rsidRDefault="006D5151" w:rsidP="006D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221D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      </w:r>
          </w:p>
        </w:tc>
      </w:tr>
      <w:tr w:rsidR="006D5151" w:rsidRPr="007A45AC" w14:paraId="0F84A39E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7CA15" w14:textId="77777777" w:rsidR="006D5151" w:rsidRPr="007A45AC" w:rsidRDefault="006D5151" w:rsidP="006D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Соисполнители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52C8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Комитет по управлению муниципальным имуществом муниципального образования «Городской округ Ногликский»,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Ногликский», МКУ «Департамент социальной политики» администрации муниципального образования «Городской округ Ногликский», ОГУ «Центр занятости населения».</w:t>
            </w:r>
          </w:p>
        </w:tc>
      </w:tr>
      <w:tr w:rsidR="006D5151" w:rsidRPr="007A45AC" w14:paraId="7D6D6084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9985" w14:textId="77777777" w:rsidR="006D5151" w:rsidRPr="007A45AC" w:rsidRDefault="006D5151" w:rsidP="006D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 программы, основные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7B34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 «Развитие малого и среднего предпринимательства в муниципальном образовании «Городской округ Ногликский»;</w:t>
            </w:r>
          </w:p>
          <w:p w14:paraId="68064557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Ногликский».</w:t>
            </w:r>
          </w:p>
          <w:p w14:paraId="539F176F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повышения качества торгового обслуживания».</w:t>
            </w:r>
          </w:p>
          <w:p w14:paraId="1952EEB2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2 «Содействие развитию инфраструктуры торговли, основанной на принципах достижений установленных нормативов обеспеченности населения муниципального образования площадью торговых объектов».</w:t>
            </w:r>
          </w:p>
          <w:p w14:paraId="1D9BCF53" w14:textId="77777777" w:rsidR="006D5151" w:rsidRPr="007A45AC" w:rsidRDefault="006D5151" w:rsidP="007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образования.</w:t>
            </w:r>
          </w:p>
        </w:tc>
      </w:tr>
      <w:tr w:rsidR="006D5151" w:rsidRPr="007A45AC" w14:paraId="088EAFA2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9F16" w14:textId="77777777" w:rsidR="006D5151" w:rsidRPr="007A45AC" w:rsidRDefault="006D5151" w:rsidP="006D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программы</w:t>
            </w:r>
          </w:p>
          <w:p w14:paraId="2D100801" w14:textId="77777777" w:rsidR="006D5151" w:rsidRPr="007A45AC" w:rsidRDefault="006D5151" w:rsidP="006D5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CF40" w14:textId="77777777" w:rsidR="006D5151" w:rsidRPr="007A45AC" w:rsidRDefault="006D5151" w:rsidP="007A45AC">
            <w:pPr>
              <w:autoSpaceDE w:val="0"/>
              <w:autoSpaceDN w:val="0"/>
              <w:adjustRightInd w:val="0"/>
              <w:spacing w:after="0" w:line="240" w:lineRule="auto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благоприятных условий для жизнедеятельности населения, повышение качества жизни населения, включая увеличение реальных денежных доходов населения, формирование благоприятной экономической среды, а также создание условий для развития экономики муниципального образования «Городской округ Ногликский».</w:t>
            </w:r>
          </w:p>
        </w:tc>
      </w:tr>
      <w:tr w:rsidR="006D5151" w:rsidRPr="007A45AC" w14:paraId="6A79E5AF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841C" w14:textId="77777777" w:rsidR="006D5151" w:rsidRPr="007A45AC" w:rsidRDefault="006D5151" w:rsidP="006D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1119" w14:textId="77777777" w:rsidR="006D5151" w:rsidRPr="007A45AC" w:rsidRDefault="006D5151" w:rsidP="001A0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 Создание благоприятных условий для развития предпринимательской деятельности.</w:t>
            </w:r>
          </w:p>
          <w:p w14:paraId="4005A747" w14:textId="77777777" w:rsidR="006D5151" w:rsidRPr="007A45AC" w:rsidRDefault="006D5151" w:rsidP="001A033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2. Оказание поддержки субъектам малого и среднего предпринимательства</w:t>
            </w:r>
          </w:p>
          <w:p w14:paraId="33EF154D" w14:textId="77777777" w:rsidR="006D5151" w:rsidRPr="007A45AC" w:rsidRDefault="006D5151" w:rsidP="001A0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Создание экономически благоприятных условий, способствующих эффективности деятельности сельскохозяйственного сектора;</w:t>
            </w:r>
          </w:p>
          <w:p w14:paraId="761101E3" w14:textId="77777777" w:rsidR="006D5151" w:rsidRPr="007A45AC" w:rsidRDefault="006D5151" w:rsidP="001A0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Создание муниципального фонда земель сельскохозяйственного назначения;</w:t>
            </w:r>
          </w:p>
          <w:p w14:paraId="05825648" w14:textId="77777777" w:rsidR="006D5151" w:rsidRPr="007A45AC" w:rsidRDefault="006D5151" w:rsidP="001A0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5. Создание условий для расширения рынка сельскохозяйственной продукции;</w:t>
            </w:r>
          </w:p>
          <w:p w14:paraId="7434C286" w14:textId="77777777" w:rsidR="006D5151" w:rsidRPr="007A45AC" w:rsidRDefault="006D5151" w:rsidP="001A0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Создание эффективного механизма взаимодействия и кооперирования личных подсобных хозяйств населения (далее ЛПХ) и крестьянских (фермерских) хозяйств (далее КФХ).</w:t>
            </w:r>
          </w:p>
          <w:p w14:paraId="27177BA1" w14:textId="77777777" w:rsidR="006D5151" w:rsidRPr="007A45AC" w:rsidRDefault="006D5151" w:rsidP="001A0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доступности.</w:t>
            </w:r>
          </w:p>
          <w:p w14:paraId="4AEE8729" w14:textId="77777777" w:rsidR="006D5151" w:rsidRPr="007A45AC" w:rsidRDefault="006D5151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 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объектов.</w:t>
            </w:r>
          </w:p>
          <w:p w14:paraId="3BC40829" w14:textId="77777777" w:rsidR="006D5151" w:rsidRPr="007A45AC" w:rsidRDefault="006D5151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образования.</w:t>
            </w:r>
          </w:p>
        </w:tc>
      </w:tr>
      <w:tr w:rsidR="00A63346" w:rsidRPr="007C6F40" w14:paraId="417FF195" w14:textId="77777777" w:rsidTr="00A63346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D4DC7" w14:textId="77777777" w:rsidR="00A63346" w:rsidRPr="007C6F40" w:rsidRDefault="00A63346" w:rsidP="00A6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и источники финансирования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DB804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29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1 231,4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рублей, </w:t>
            </w:r>
          </w:p>
          <w:p w14:paraId="75993A6E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том числе годам:</w:t>
            </w:r>
          </w:p>
          <w:p w14:paraId="12638B05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 г. – 14 277,4 тыс. руб.;</w:t>
            </w:r>
          </w:p>
          <w:p w14:paraId="0FD8F871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2016 г. – 11 184,4 тыс. руб.;</w:t>
            </w:r>
          </w:p>
          <w:p w14:paraId="11BFAE51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2017 г. – 10 022,1 тыс. руб.;</w:t>
            </w:r>
          </w:p>
          <w:p w14:paraId="018F13CD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2018 г. – 21 366,7 тыс. руб.;</w:t>
            </w:r>
          </w:p>
          <w:p w14:paraId="68F73FB1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2019 г. – 25 521,6 тыс. руб.;</w:t>
            </w:r>
          </w:p>
          <w:p w14:paraId="7053472F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 г. – 28 942,7 тыс. руб.;</w:t>
            </w:r>
          </w:p>
          <w:p w14:paraId="45DED23B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 г. – 33 547,9 тыс. руб.;</w:t>
            </w:r>
          </w:p>
          <w:p w14:paraId="1033FA87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2022 г. – 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36 259,6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руб.;</w:t>
            </w:r>
          </w:p>
          <w:p w14:paraId="351EBF65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г. – 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38 415,5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руб.;</w:t>
            </w:r>
          </w:p>
          <w:p w14:paraId="77A161ED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г. – 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39 126,4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руб.;</w:t>
            </w:r>
          </w:p>
          <w:p w14:paraId="0536B1F2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г. – 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32 567,1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</w:t>
            </w:r>
          </w:p>
          <w:p w14:paraId="1E55334F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из них по источникам:</w:t>
            </w:r>
          </w:p>
          <w:p w14:paraId="459E1F7C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за счет средств местного бюджета – 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2</w:t>
            </w:r>
            <w:r w:rsidR="001277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21 246,9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рублей,</w:t>
            </w:r>
          </w:p>
          <w:p w14:paraId="5E2AC451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том числе годам:</w:t>
            </w:r>
          </w:p>
          <w:p w14:paraId="29BA4353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 г. – 2 945,0 тыс. руб.;</w:t>
            </w:r>
          </w:p>
          <w:p w14:paraId="69B59035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2016 г. – 2 655,0 тыс. руб.;</w:t>
            </w:r>
          </w:p>
          <w:p w14:paraId="756A1EE9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2017 г. – 1 375,5 тыс. руб.;</w:t>
            </w:r>
          </w:p>
          <w:p w14:paraId="0330D2CD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2018 г. – 18 420,1 тыс. руб.;</w:t>
            </w:r>
          </w:p>
          <w:p w14:paraId="0313A338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2019 г. – 21 914,6 тыс. руб.;</w:t>
            </w:r>
          </w:p>
          <w:p w14:paraId="23695D49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 г. – 24 993,2 тыс. руб.;</w:t>
            </w:r>
          </w:p>
          <w:p w14:paraId="1C2C7E00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 г. – 27 488,1 тыс. руб.;</w:t>
            </w:r>
          </w:p>
          <w:p w14:paraId="71EA98F1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2022 г. – 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27 200,2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руб.;</w:t>
            </w:r>
          </w:p>
          <w:p w14:paraId="4FFA58AD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г. – 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30 488,6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руб.;</w:t>
            </w:r>
          </w:p>
          <w:p w14:paraId="5228B9E4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г. – 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31 199,5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руб.;</w:t>
            </w:r>
          </w:p>
          <w:p w14:paraId="7F703FE2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г. – </w:t>
            </w:r>
            <w:r w:rsidR="00964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32 567,1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</w:t>
            </w:r>
          </w:p>
          <w:p w14:paraId="104FBC10" w14:textId="77777777" w:rsidR="00A63346" w:rsidRPr="007C6F40" w:rsidRDefault="00A63346" w:rsidP="00A63346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14:paraId="5DEE6822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- за счет</w:t>
            </w:r>
            <w:r w:rsidR="00C477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средств областного бюджета – </w:t>
            </w:r>
            <w:r w:rsidR="00C477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69 428,5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рублей,</w:t>
            </w:r>
          </w:p>
          <w:p w14:paraId="1E1DD4A5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том числе годам:</w:t>
            </w:r>
          </w:p>
          <w:p w14:paraId="79736DD1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 г. – 10 882,4 тыс. руб.;</w:t>
            </w:r>
          </w:p>
          <w:p w14:paraId="5C48EDC0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2016 г. – 8 423,4 тыс. руб.;</w:t>
            </w:r>
          </w:p>
          <w:p w14:paraId="74D5BE48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2017 г. – 8 646,6 тыс. руб.;</w:t>
            </w:r>
          </w:p>
          <w:p w14:paraId="46F1C0B3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2018 г. – 2 946,6 тыс. руб.;</w:t>
            </w:r>
          </w:p>
          <w:p w14:paraId="437A6646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2019 г. – 3 607,0 тыс. руб.;</w:t>
            </w:r>
          </w:p>
          <w:p w14:paraId="49B25DB3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 г. – 3 949,5 тыс. руб.;</w:t>
            </w:r>
          </w:p>
          <w:p w14:paraId="5AC186CD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 г. – 6 059,8 тыс. руб.;</w:t>
            </w:r>
          </w:p>
          <w:p w14:paraId="4D5D3A18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2022 г. – </w:t>
            </w:r>
            <w:r w:rsidR="00C477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9 059,4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руб.;</w:t>
            </w:r>
          </w:p>
          <w:p w14:paraId="0C8A7979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г. – </w:t>
            </w:r>
            <w:r w:rsidR="00C477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7 926,9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тыс. руб.;</w:t>
            </w:r>
          </w:p>
          <w:p w14:paraId="3762C6C3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2024 г. – 7 926,9  тыс. руб.;</w:t>
            </w:r>
          </w:p>
          <w:p w14:paraId="636FFC55" w14:textId="77777777" w:rsidR="00A63346" w:rsidRPr="007C6F40" w:rsidRDefault="00A63346" w:rsidP="003E7911">
            <w:pPr>
              <w:spacing w:after="0" w:line="240" w:lineRule="auto"/>
              <w:ind w:firstLine="352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2025 г. – 0,0* тыс. руб.</w:t>
            </w:r>
          </w:p>
          <w:p w14:paraId="5A302C62" w14:textId="77777777" w:rsidR="00A63346" w:rsidRPr="007C6F40" w:rsidRDefault="00A63346" w:rsidP="003E7911">
            <w:pPr>
              <w:spacing w:after="0" w:line="240" w:lineRule="auto"/>
              <w:ind w:firstLine="35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14:paraId="05238DD6" w14:textId="77777777" w:rsidR="00A63346" w:rsidRPr="007C6F40" w:rsidRDefault="00A63346" w:rsidP="003E7911">
            <w:pPr>
              <w:spacing w:after="0" w:line="240" w:lineRule="auto"/>
              <w:ind w:firstLine="352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*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4005033D" w14:textId="77777777" w:rsidR="00A63346" w:rsidRPr="007C6F40" w:rsidRDefault="00A63346" w:rsidP="003E7911">
            <w:pPr>
              <w:spacing w:after="0" w:line="240" w:lineRule="auto"/>
              <w:ind w:firstLine="352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14:paraId="1B5A135A" w14:textId="77777777" w:rsidR="00A63346" w:rsidRPr="007C6F40" w:rsidRDefault="00A63346" w:rsidP="003E7911">
            <w:pPr>
              <w:spacing w:after="0" w:line="240" w:lineRule="auto"/>
              <w:ind w:firstLine="352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за счет внебюджетных источников – </w:t>
            </w: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556,0 тыс. рублей,</w:t>
            </w:r>
          </w:p>
          <w:p w14:paraId="69A53584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том числе годам:</w:t>
            </w:r>
          </w:p>
          <w:p w14:paraId="0202F049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 г. – 450,0 тыс. руб.;</w:t>
            </w:r>
          </w:p>
          <w:p w14:paraId="45C8C024" w14:textId="77777777" w:rsidR="00A63346" w:rsidRPr="007C6F40" w:rsidRDefault="00A63346" w:rsidP="003E7911">
            <w:pPr>
              <w:spacing w:after="0" w:line="240" w:lineRule="auto"/>
              <w:ind w:firstLine="35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6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2016 г. – 106,0 тыс. руб.</w:t>
            </w:r>
          </w:p>
        </w:tc>
      </w:tr>
      <w:tr w:rsidR="001A033D" w:rsidRPr="007A45AC" w14:paraId="47FDB34F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BD10" w14:textId="77777777" w:rsidR="001A033D" w:rsidRPr="007A45AC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90A25" w14:textId="77777777" w:rsidR="001A033D" w:rsidRPr="001A033D" w:rsidRDefault="001A033D" w:rsidP="001A03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1. Среднесписочная численность работников, занятых на малых и средних предприятиях;</w:t>
            </w:r>
          </w:p>
          <w:p w14:paraId="2FE70688" w14:textId="77777777" w:rsidR="001A033D" w:rsidRPr="001A033D" w:rsidRDefault="001A033D" w:rsidP="001A03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2. Количество субъектов МСП, включая индивидуальных предпринимателей, на 10 тыс. человек населения;</w:t>
            </w:r>
          </w:p>
          <w:p w14:paraId="4CF2681F" w14:textId="77777777" w:rsidR="001A033D" w:rsidRPr="001A033D" w:rsidRDefault="001A033D" w:rsidP="001A03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3. Количество субъектов МСП, получивших финансовую поддержку;</w:t>
            </w:r>
          </w:p>
          <w:p w14:paraId="0A914981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4. Оборот товаров и услуг, производимых малыми и средними предприятиями;</w:t>
            </w:r>
          </w:p>
          <w:p w14:paraId="02BD7DFC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5. Количество субъектов МСП, которым оказана поддержка в рамках софинансирования подпрограммы 1;</w:t>
            </w:r>
          </w:p>
          <w:p w14:paraId="3A96CECA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6. Количество созданных рабочих мест в рамках софинансирования подпрограммы 1;</w:t>
            </w:r>
          </w:p>
          <w:p w14:paraId="4687F599" w14:textId="77777777" w:rsidR="001A033D" w:rsidRPr="001A033D" w:rsidRDefault="001A033D" w:rsidP="001A0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7. Количество сохраненных рабочих мест в рамках софинансирования подпрограммы 1;</w:t>
            </w:r>
          </w:p>
          <w:p w14:paraId="68E5D3BC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8. Индекс производства молока в ЛПХ и КФХ;</w:t>
            </w:r>
          </w:p>
          <w:p w14:paraId="53F8B561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9. Индекс производства мяса скота и птицы на убой (в живом весе) в ЛПХ и КФХ;</w:t>
            </w:r>
          </w:p>
          <w:p w14:paraId="07531B2A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10. Индекс производства продукции растениеводства в ЛПХ и КФХ;</w:t>
            </w:r>
          </w:p>
          <w:p w14:paraId="1A45D454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11. Количество КФХ до 2020 года;</w:t>
            </w:r>
          </w:p>
          <w:p w14:paraId="03EF6B98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12. Ввод в эксплуатацию сельскохозяйственного рынка – 1 объект;</w:t>
            </w:r>
          </w:p>
          <w:p w14:paraId="12FF47DD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13. Доля ярмарочной торговли в общем объеме товарооборота;</w:t>
            </w:r>
          </w:p>
          <w:p w14:paraId="6674B21D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lastRenderedPageBreak/>
              <w:t>14. Обеспеченность населения площадью торговых объектов к нормативу;</w:t>
            </w:r>
          </w:p>
          <w:p w14:paraId="25E1F1A8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15. Выполнение рейсов для перевозки пассажиров общественным транспортом;</w:t>
            </w:r>
          </w:p>
          <w:p w14:paraId="68007BD1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16. Количество пассажиров, перевезенных общественным транспортом, до 2020 года;</w:t>
            </w:r>
          </w:p>
          <w:p w14:paraId="759AED32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17. Максимальный возраст подвижного состава;</w:t>
            </w:r>
          </w:p>
          <w:p w14:paraId="538A830F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18. Количество самозанятых граждан, получивших гранты в форме субсидий;</w:t>
            </w:r>
          </w:p>
          <w:p w14:paraId="03D2C5DF" w14:textId="77777777" w:rsidR="001A033D" w:rsidRPr="00355F9E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33D">
              <w:rPr>
                <w:rFonts w:ascii="Times New Roman" w:hAnsi="Times New Roman"/>
                <w:sz w:val="26"/>
                <w:szCs w:val="26"/>
              </w:rPr>
              <w:t>19. Количество поставленного дотационного комбикорма и фуражного зерна для сельскохозяйственных животных и птицы в населенные пункты для ЛПХ, начиная с 2021 года.</w:t>
            </w:r>
          </w:p>
        </w:tc>
      </w:tr>
      <w:tr w:rsidR="001A033D" w:rsidRPr="007A45AC" w14:paraId="0D886D39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B97C" w14:textId="77777777" w:rsidR="001A033D" w:rsidRPr="007A45AC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B770" w14:textId="77777777" w:rsidR="001A033D" w:rsidRPr="007A45AC" w:rsidRDefault="001A033D" w:rsidP="001A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Программы предусмотрена в два этапа:</w:t>
            </w:r>
          </w:p>
          <w:p w14:paraId="17764B63" w14:textId="77777777" w:rsidR="001A033D" w:rsidRPr="007A45AC" w:rsidRDefault="001A033D" w:rsidP="001A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этап – 2015-2020 гг.</w:t>
            </w:r>
          </w:p>
          <w:p w14:paraId="3036C6A5" w14:textId="77777777" w:rsidR="001A033D" w:rsidRPr="007A45AC" w:rsidRDefault="001A033D" w:rsidP="001A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этап – 2021-2025 гг.</w:t>
            </w:r>
          </w:p>
          <w:p w14:paraId="406F6BD4" w14:textId="77777777" w:rsidR="001A033D" w:rsidRPr="007A45AC" w:rsidRDefault="001A033D" w:rsidP="001A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срок реализации программы 2015-2025 годы.</w:t>
            </w:r>
          </w:p>
        </w:tc>
      </w:tr>
      <w:tr w:rsidR="001A033D" w:rsidRPr="007A45AC" w14:paraId="4F06FF43" w14:textId="77777777" w:rsidTr="007A45AC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E8F1" w14:textId="77777777" w:rsidR="001A033D" w:rsidRPr="007A45AC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3919" w14:textId="77777777" w:rsidR="001A033D" w:rsidRPr="001A033D" w:rsidRDefault="001A033D" w:rsidP="001A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0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Сохранение среднесписочной численности работников, занятых на малых и средних предприятиях, на уровне базового периода, не менее 1,5 тыс. чел.;</w:t>
            </w:r>
          </w:p>
          <w:p w14:paraId="5F7E3BDD" w14:textId="77777777" w:rsidR="001A033D" w:rsidRPr="001A033D" w:rsidRDefault="001A033D" w:rsidP="001A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0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Сохранение количества субъектов МСП, включая индивидуальных предпринимателей, на 10 тыс. человек населения на уровне базового периода, не менее 394,85 ед.;</w:t>
            </w:r>
          </w:p>
          <w:p w14:paraId="08CB6794" w14:textId="77777777" w:rsidR="001A033D" w:rsidRPr="001A033D" w:rsidRDefault="001A033D" w:rsidP="001A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0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Обеспечение количества субъектов МСП, получивших финансовую поддержку, не менее 2 субъектов в год;</w:t>
            </w:r>
          </w:p>
          <w:p w14:paraId="7E514784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0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Увеличение оборота товаров и услуг, производимых малыми и средними предприятиями, не менее чем на 50% к базовому периоду;</w:t>
            </w:r>
          </w:p>
          <w:p w14:paraId="0F31A059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0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Обеспечение количества субъектов МСП, которым оказана поддержка в рамках софинансирования подпрограммы 1, не менее 2 субъектов в год;</w:t>
            </w:r>
          </w:p>
          <w:p w14:paraId="7DE12083" w14:textId="77777777" w:rsidR="001A033D" w:rsidRPr="001A033D" w:rsidRDefault="001A033D" w:rsidP="001A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0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Обеспечение количества созданных рабочих мест в рамках софинансирования подпрограммы 1 не менее 60 единиц за весь период действия подпрограммы 1;</w:t>
            </w:r>
          </w:p>
          <w:p w14:paraId="40A94BE8" w14:textId="77777777" w:rsidR="001A033D" w:rsidRPr="001A033D" w:rsidRDefault="001A033D" w:rsidP="001A03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A0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Обеспечение количества сохраненных рабочих мест в рамках софинансирования подпрограммы 1 не менее 500 единиц за весь период действия подпрограммы 1;</w:t>
            </w:r>
          </w:p>
          <w:p w14:paraId="39D1E91C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8. Сохранение на уровне предыдущего отчетного периода и увеличение до 100% к 2025 году индекса производства молока в ЛПХ и КФХ;</w:t>
            </w:r>
          </w:p>
          <w:p w14:paraId="44E8AB3E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9. Сохранение на уровне предыдущего отчетного периода и увеличение до 100% к 2025 году индекса производства мяса скота и птицы на убой (в живом весе) в ЛПХ и КФХ;</w:t>
            </w:r>
          </w:p>
          <w:p w14:paraId="2CFE3BB9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10. Сохранение на уровне предыдущего отчетного периода и увеличение до 100% к 2023 году индекса производства продукции растениеводства в ЛПХ и КФХ;</w:t>
            </w:r>
          </w:p>
          <w:p w14:paraId="3045E5A6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11. Прирост 1 КФХ к уже осуществляющим деятельность хозяйствам в период с 2015 по 2020 год;</w:t>
            </w:r>
          </w:p>
          <w:p w14:paraId="0487E90D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12. Создание условий для реализации сельскохозяйственной продукции за счет ввода в эксплуатацию 1 сельскохозяйственного рынка;</w:t>
            </w:r>
          </w:p>
          <w:p w14:paraId="6D043FBB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13. Увеличение доли ярмарочной торговли в общем объеме товарооборота 1% до 2,5 %;</w:t>
            </w:r>
          </w:p>
          <w:p w14:paraId="570DE8FC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14. Уровень обеспеченности населения площадью торговых объектов к нормативу с 595 кв. м до 640 кв.м.;</w:t>
            </w:r>
          </w:p>
          <w:p w14:paraId="4BAFF5B8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15. Количество рейсов для перевозки пассажиров общественным транспортом – 100% от технического задания в соответствии с муниципальным контрактом;</w:t>
            </w:r>
          </w:p>
          <w:p w14:paraId="38727C72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16. Количество пассажиров, перевезенных общественным транспортом – не менее 100% от технического задания в соответствии с муниципальным контрактом в период с 2015 по 2020 год;</w:t>
            </w:r>
          </w:p>
          <w:p w14:paraId="1B1CEAC5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17. Максимальный возраст подвижного состава – не старше 10 лет;</w:t>
            </w:r>
          </w:p>
          <w:p w14:paraId="3F675ABD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18. Обеспечение количества самозанятых граждан, получивших гранты в форме субсидий в 2020 году, не менее 20 человек;</w:t>
            </w:r>
          </w:p>
          <w:p w14:paraId="7B10CFF6" w14:textId="77777777" w:rsidR="001A033D" w:rsidRPr="001A033D" w:rsidRDefault="001A033D" w:rsidP="001A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19. Поставка дотационного комбикорма и фуражного зерна для сельскохозяйственных животных и птицы в населенные пункты для ЛПХ в 2021 году не менее 100,0 </w:t>
            </w:r>
            <w:proofErr w:type="spellStart"/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тн</w:t>
            </w:r>
            <w:proofErr w:type="spellEnd"/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начиная с 2022 года не менее 160,0 </w:t>
            </w:r>
            <w:proofErr w:type="spellStart"/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тн</w:t>
            </w:r>
            <w:proofErr w:type="spellEnd"/>
            <w:r w:rsidRPr="001A033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</w:tbl>
    <w:p w14:paraId="5A7B8095" w14:textId="77777777" w:rsidR="007A45AC" w:rsidRDefault="007A45AC" w:rsidP="00D522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F00CCC3" w14:textId="036457A2" w:rsidR="00D5225E" w:rsidRPr="00534179" w:rsidRDefault="00C83A94" w:rsidP="00D522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45AC">
        <w:rPr>
          <w:rFonts w:ascii="Times New Roman" w:eastAsia="Times New Roman" w:hAnsi="Times New Roman" w:cs="Times New Roman"/>
          <w:sz w:val="26"/>
          <w:szCs w:val="26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Ногликский» от 16.12.2016 № 876 </w:t>
      </w:r>
      <w:r w:rsidR="00D5225E" w:rsidRPr="007A4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(в редакции</w:t>
      </w:r>
      <w:r w:rsidR="00A63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23</w:t>
      </w:r>
      <w:r w:rsidR="00A436F1" w:rsidRPr="007A4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1757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A63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A436F1" w:rsidRPr="007A4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</w:t>
      </w:r>
      <w:r w:rsidR="007A45AC" w:rsidRPr="007A4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A63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A436F1" w:rsidRPr="007A4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</w:t>
      </w:r>
      <w:r w:rsidR="00A63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450</w:t>
      </w:r>
      <w:r w:rsidR="00534179" w:rsidRPr="005341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34179" w:rsidRPr="00534179">
        <w:rPr>
          <w:rFonts w:ascii="Times New Roman" w:hAnsi="Times New Roman" w:cs="Times New Roman"/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D5225E" w:rsidRPr="005341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sectPr w:rsidR="00D5225E" w:rsidRPr="00534179" w:rsidSect="007A45AC">
      <w:headerReference w:type="default" r:id="rId7"/>
      <w:pgSz w:w="11906" w:h="16838"/>
      <w:pgMar w:top="1134" w:right="849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C8E25" w14:textId="77777777" w:rsidR="007D35D2" w:rsidRDefault="007D35D2" w:rsidP="007D35D2">
      <w:pPr>
        <w:spacing w:after="0" w:line="240" w:lineRule="auto"/>
      </w:pPr>
      <w:r>
        <w:separator/>
      </w:r>
    </w:p>
  </w:endnote>
  <w:endnote w:type="continuationSeparator" w:id="0">
    <w:p w14:paraId="40D89A25" w14:textId="77777777" w:rsidR="007D35D2" w:rsidRDefault="007D35D2" w:rsidP="007D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C3F9C" w14:textId="77777777" w:rsidR="007D35D2" w:rsidRDefault="007D35D2" w:rsidP="007D35D2">
      <w:pPr>
        <w:spacing w:after="0" w:line="240" w:lineRule="auto"/>
      </w:pPr>
      <w:r>
        <w:separator/>
      </w:r>
    </w:p>
  </w:footnote>
  <w:footnote w:type="continuationSeparator" w:id="0">
    <w:p w14:paraId="380724C8" w14:textId="77777777" w:rsidR="007D35D2" w:rsidRDefault="007D35D2" w:rsidP="007D3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4051660"/>
      <w:docPartObj>
        <w:docPartGallery w:val="Page Numbers (Top of Page)"/>
        <w:docPartUnique/>
      </w:docPartObj>
    </w:sdtPr>
    <w:sdtEndPr/>
    <w:sdtContent>
      <w:p w14:paraId="6647CE29" w14:textId="77777777" w:rsidR="007D35D2" w:rsidRDefault="007D35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758">
          <w:rPr>
            <w:noProof/>
          </w:rPr>
          <w:t>3</w:t>
        </w:r>
        <w:r>
          <w:fldChar w:fldCharType="end"/>
        </w:r>
      </w:p>
    </w:sdtContent>
  </w:sdt>
  <w:p w14:paraId="6BBCF314" w14:textId="77777777" w:rsidR="007D35D2" w:rsidRDefault="007D35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2E6"/>
    <w:rsid w:val="0005798B"/>
    <w:rsid w:val="00127725"/>
    <w:rsid w:val="0017570B"/>
    <w:rsid w:val="001A033D"/>
    <w:rsid w:val="001D0F12"/>
    <w:rsid w:val="002C65A1"/>
    <w:rsid w:val="003E7911"/>
    <w:rsid w:val="0046755C"/>
    <w:rsid w:val="00522957"/>
    <w:rsid w:val="00534179"/>
    <w:rsid w:val="00661BB6"/>
    <w:rsid w:val="00675620"/>
    <w:rsid w:val="006D5151"/>
    <w:rsid w:val="006E063C"/>
    <w:rsid w:val="006F0D52"/>
    <w:rsid w:val="007A45AC"/>
    <w:rsid w:val="007D35D2"/>
    <w:rsid w:val="00833597"/>
    <w:rsid w:val="00856161"/>
    <w:rsid w:val="00964EC1"/>
    <w:rsid w:val="00A11475"/>
    <w:rsid w:val="00A436F1"/>
    <w:rsid w:val="00A602E6"/>
    <w:rsid w:val="00A63346"/>
    <w:rsid w:val="00B42955"/>
    <w:rsid w:val="00C47758"/>
    <w:rsid w:val="00C83A94"/>
    <w:rsid w:val="00D0749D"/>
    <w:rsid w:val="00D5225E"/>
    <w:rsid w:val="00DE79D2"/>
    <w:rsid w:val="00F4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C285"/>
  <w15:chartTrackingRefBased/>
  <w15:docId w15:val="{3B73A37F-9733-4DAB-AB43-B2B2EA6F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35D2"/>
  </w:style>
  <w:style w:type="paragraph" w:styleId="a5">
    <w:name w:val="footer"/>
    <w:basedOn w:val="a"/>
    <w:link w:val="a6"/>
    <w:uiPriority w:val="99"/>
    <w:unhideWhenUsed/>
    <w:rsid w:val="007D3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35D2"/>
  </w:style>
  <w:style w:type="paragraph" w:customStyle="1" w:styleId="ConsPlusCell">
    <w:name w:val="ConsPlusCell"/>
    <w:uiPriority w:val="99"/>
    <w:rsid w:val="006E06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63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88872-2266-4172-AE56-ABA55FD3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18</cp:revision>
  <dcterms:created xsi:type="dcterms:W3CDTF">2018-11-06T05:29:00Z</dcterms:created>
  <dcterms:modified xsi:type="dcterms:W3CDTF">2022-11-13T22:33:00Z</dcterms:modified>
</cp:coreProperties>
</file>